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2" w:rsidRPr="00FA7A62" w:rsidRDefault="003D1407" w:rsidP="00FA7A62">
      <w:pPr>
        <w:pStyle w:val="Title"/>
        <w:rPr>
          <w:lang w:val="fr-FR"/>
        </w:rPr>
      </w:pPr>
      <w:r>
        <w:rPr>
          <w:lang w:val="fr-FR"/>
        </w:rPr>
        <w:t xml:space="preserve"> </w:t>
      </w:r>
      <w:r w:rsidR="00FA7A62" w:rsidRPr="00FA7A62">
        <w:rPr>
          <w:lang w:val="fr-FR"/>
        </w:rPr>
        <w:t>INTERNATIONAL ORGANISATION FOR STANDARDISATION</w:t>
      </w:r>
    </w:p>
    <w:p w:rsidR="00FA7A62" w:rsidRPr="00FA7A62" w:rsidRDefault="00FA7A62" w:rsidP="00FA7A62">
      <w:pPr>
        <w:jc w:val="center"/>
        <w:rPr>
          <w:b/>
          <w:sz w:val="28"/>
          <w:szCs w:val="20"/>
          <w:lang w:val="fr-FR"/>
        </w:rPr>
      </w:pPr>
      <w:r w:rsidRPr="00FA7A62">
        <w:rPr>
          <w:b/>
          <w:sz w:val="28"/>
          <w:lang w:val="fr-FR"/>
        </w:rPr>
        <w:t>ORGANISATION INTERNATIONALE DE NORMALISATION</w:t>
      </w:r>
    </w:p>
    <w:p w:rsidR="00FA7A62" w:rsidRDefault="0031733C" w:rsidP="00FA7A62">
      <w:pPr>
        <w:jc w:val="center"/>
        <w:rPr>
          <w:b/>
          <w:sz w:val="28"/>
          <w:szCs w:val="20"/>
        </w:rPr>
      </w:pPr>
      <w:r>
        <w:rPr>
          <w:b/>
          <w:sz w:val="28"/>
        </w:rPr>
        <w:t>ISO/IEC JTC1/SC 29/WG 3</w:t>
      </w:r>
    </w:p>
    <w:p w:rsidR="00FA7A62" w:rsidRDefault="00FA7A62" w:rsidP="00FA7A62">
      <w:pPr>
        <w:jc w:val="center"/>
        <w:rPr>
          <w:b/>
          <w:sz w:val="20"/>
          <w:szCs w:val="20"/>
        </w:rPr>
      </w:pPr>
      <w:r>
        <w:rPr>
          <w:b/>
          <w:sz w:val="28"/>
        </w:rPr>
        <w:t>CODING OF MOVING PICTURES AND AUDIO</w:t>
      </w:r>
    </w:p>
    <w:p w:rsidR="00FA7A62" w:rsidRDefault="00FA7A62" w:rsidP="00FA7A62">
      <w:pPr>
        <w:tabs>
          <w:tab w:val="left" w:pos="5387"/>
        </w:tabs>
        <w:spacing w:line="240" w:lineRule="exact"/>
        <w:jc w:val="center"/>
        <w:rPr>
          <w:b/>
          <w:sz w:val="20"/>
          <w:szCs w:val="20"/>
        </w:rPr>
      </w:pPr>
      <w:r>
        <w:rPr>
          <w:b/>
        </w:rPr>
        <w:t> </w:t>
      </w:r>
    </w:p>
    <w:p w:rsidR="00FA7A62" w:rsidRPr="00FC7B5B" w:rsidRDefault="00FA7A62" w:rsidP="009E009A">
      <w:pPr>
        <w:jc w:val="right"/>
        <w:rPr>
          <w:b/>
          <w:color w:val="FF0000"/>
          <w:sz w:val="44"/>
          <w:lang w:val="es-ES"/>
        </w:rPr>
      </w:pPr>
      <w:r>
        <w:rPr>
          <w:b/>
        </w:rPr>
        <w:t>ISO/IEC JTC1/SC</w:t>
      </w:r>
      <w:r w:rsidR="0031733C">
        <w:rPr>
          <w:b/>
        </w:rPr>
        <w:t xml:space="preserve"> </w:t>
      </w:r>
      <w:r>
        <w:rPr>
          <w:b/>
        </w:rPr>
        <w:t>29/WG</w:t>
      </w:r>
      <w:r w:rsidR="0031733C">
        <w:rPr>
          <w:b/>
        </w:rPr>
        <w:t xml:space="preserve"> 3</w:t>
      </w:r>
      <w:r w:rsidRPr="00FC7B5B">
        <w:rPr>
          <w:b/>
          <w:lang w:val="es-ES"/>
        </w:rPr>
        <w:t>/</w:t>
      </w:r>
      <w:r w:rsidRPr="00755599">
        <w:rPr>
          <w:b/>
          <w:sz w:val="44"/>
          <w:lang w:val="es-ES"/>
        </w:rPr>
        <w:t>M</w:t>
      </w:r>
      <w:r w:rsidR="00F25A12">
        <w:rPr>
          <w:b/>
          <w:sz w:val="44"/>
          <w:lang w:val="es-ES"/>
        </w:rPr>
        <w:t>5</w:t>
      </w:r>
      <w:r w:rsidR="00022BC2">
        <w:rPr>
          <w:b/>
          <w:sz w:val="44"/>
          <w:lang w:val="es-ES"/>
        </w:rPr>
        <w:t>6</w:t>
      </w:r>
      <w:r w:rsidR="00CE5FC4">
        <w:rPr>
          <w:b/>
          <w:sz w:val="44"/>
          <w:lang w:val="es-ES"/>
        </w:rPr>
        <w:t>303</w:t>
      </w:r>
    </w:p>
    <w:p w:rsidR="00167A06" w:rsidRPr="00FC7B5B" w:rsidRDefault="00CE5FC4" w:rsidP="009E009A">
      <w:pPr>
        <w:jc w:val="right"/>
        <w:rPr>
          <w:b/>
          <w:lang w:val="es-ES"/>
        </w:rPr>
      </w:pPr>
      <w:r>
        <w:rPr>
          <w:b/>
          <w:color w:val="000000"/>
        </w:rPr>
        <w:t>April 16</w:t>
      </w:r>
      <w:r w:rsidR="001D4257">
        <w:rPr>
          <w:b/>
          <w:color w:val="000000"/>
        </w:rPr>
        <w:t>, 20</w:t>
      </w:r>
      <w:r w:rsidR="00F25A12">
        <w:rPr>
          <w:b/>
          <w:color w:val="000000"/>
        </w:rPr>
        <w:t>2</w:t>
      </w:r>
      <w:r w:rsidR="00022BC2">
        <w:rPr>
          <w:b/>
          <w:color w:val="000000"/>
        </w:rPr>
        <w:t>1</w:t>
      </w:r>
    </w:p>
    <w:p w:rsidR="00FA7A62" w:rsidRPr="00FC7B5B" w:rsidRDefault="00FA7A62" w:rsidP="00FA7A62">
      <w:pPr>
        <w:spacing w:line="240" w:lineRule="exact"/>
        <w:rPr>
          <w:sz w:val="20"/>
          <w:szCs w:val="20"/>
          <w:lang w:val="es-ES"/>
        </w:rPr>
      </w:pPr>
      <w:r w:rsidRPr="00FC7B5B">
        <w:rPr>
          <w:lang w:val="es-ES"/>
        </w:rPr>
        <w:t> 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Source:</w:t>
      </w:r>
      <w:r>
        <w:rPr>
          <w:b/>
        </w:rPr>
        <w:tab/>
        <w:t>AHG</w:t>
      </w:r>
      <w:r w:rsidR="003F7AF9">
        <w:rPr>
          <w:b/>
        </w:rPr>
        <w:t xml:space="preserve"> on Font Format</w:t>
      </w:r>
    </w:p>
    <w:p w:rsidR="00CB0AF0" w:rsidRDefault="00CB0AF0" w:rsidP="009E009A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St</w:t>
      </w:r>
      <w:r w:rsidR="00C95D85">
        <w:rPr>
          <w:b/>
        </w:rPr>
        <w:t>a</w:t>
      </w:r>
      <w:r w:rsidR="00FC7B5B">
        <w:rPr>
          <w:b/>
        </w:rPr>
        <w:t>tus:</w:t>
      </w:r>
      <w:r w:rsidR="00FC7B5B">
        <w:rPr>
          <w:b/>
        </w:rPr>
        <w:tab/>
        <w:t xml:space="preserve">Contribution to the </w:t>
      </w:r>
      <w:r w:rsidR="00CE5FC4">
        <w:rPr>
          <w:b/>
        </w:rPr>
        <w:t>3</w:t>
      </w:r>
      <w:r w:rsidR="00CE5FC4" w:rsidRPr="00CE5FC4">
        <w:rPr>
          <w:b/>
          <w:vertAlign w:val="superscript"/>
        </w:rPr>
        <w:t>rd</w:t>
      </w:r>
      <w:r w:rsidR="00CE5FC4">
        <w:rPr>
          <w:b/>
        </w:rPr>
        <w:t xml:space="preserve"> </w:t>
      </w:r>
      <w:r w:rsidR="00F96CFD">
        <w:rPr>
          <w:b/>
        </w:rPr>
        <w:t>SC29/WG3 (</w:t>
      </w:r>
      <w:r w:rsidR="00DC083F">
        <w:rPr>
          <w:b/>
        </w:rPr>
        <w:t>MPEG</w:t>
      </w:r>
      <w:r>
        <w:rPr>
          <w:b/>
        </w:rPr>
        <w:t xml:space="preserve"> </w:t>
      </w:r>
      <w:r w:rsidR="00F96CFD">
        <w:rPr>
          <w:b/>
        </w:rPr>
        <w:t xml:space="preserve">Systems) </w:t>
      </w:r>
      <w:r>
        <w:rPr>
          <w:b/>
        </w:rPr>
        <w:t>Meeting</w:t>
      </w:r>
    </w:p>
    <w:p w:rsidR="00CB0AF0" w:rsidRDefault="00CB0AF0" w:rsidP="00CB0AF0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Title:</w:t>
      </w:r>
      <w:r>
        <w:rPr>
          <w:b/>
        </w:rPr>
        <w:tab/>
      </w:r>
      <w:r w:rsidR="00F96CFD">
        <w:rPr>
          <w:b/>
        </w:rPr>
        <w:t xml:space="preserve">Report of the </w:t>
      </w:r>
      <w:r>
        <w:rPr>
          <w:b/>
        </w:rPr>
        <w:t xml:space="preserve">AHG </w:t>
      </w:r>
      <w:r w:rsidR="00DC083F">
        <w:rPr>
          <w:b/>
        </w:rPr>
        <w:t>on Font Format</w:t>
      </w:r>
    </w:p>
    <w:p w:rsidR="00CB0AF0" w:rsidRPr="007003DC" w:rsidRDefault="00CB0AF0" w:rsidP="00291F9E">
      <w:pPr>
        <w:tabs>
          <w:tab w:val="left" w:pos="1134"/>
        </w:tabs>
        <w:suppressAutoHyphens/>
        <w:spacing w:line="360" w:lineRule="auto"/>
        <w:jc w:val="both"/>
        <w:rPr>
          <w:b/>
          <w:szCs w:val="20"/>
        </w:rPr>
      </w:pPr>
      <w:r>
        <w:rPr>
          <w:b/>
        </w:rPr>
        <w:t>Author:</w:t>
      </w:r>
      <w:r>
        <w:rPr>
          <w:b/>
        </w:rPr>
        <w:tab/>
      </w:r>
      <w:r w:rsidR="006F0AF5">
        <w:rPr>
          <w:b/>
        </w:rPr>
        <w:t>V</w:t>
      </w:r>
      <w:r w:rsidR="00BA5604">
        <w:rPr>
          <w:b/>
        </w:rPr>
        <w:t>ladimir Levantovsky</w:t>
      </w:r>
      <w:r w:rsidR="00906C99">
        <w:rPr>
          <w:b/>
        </w:rPr>
        <w:t>, on behalf of AHG</w:t>
      </w:r>
    </w:p>
    <w:p w:rsidR="004013F6" w:rsidRDefault="00A1541A" w:rsidP="00FF098F">
      <w:pPr>
        <w:pStyle w:val="Heading1"/>
        <w:numPr>
          <w:ilvl w:val="3"/>
          <w:numId w:val="2"/>
        </w:numPr>
        <w:tabs>
          <w:tab w:val="clear" w:pos="4298"/>
          <w:tab w:val="num" w:pos="540"/>
        </w:tabs>
        <w:ind w:hanging="4298"/>
      </w:pPr>
      <w:r>
        <w:t>Ad Hoc group m</w:t>
      </w:r>
      <w:r w:rsidR="004013F6">
        <w:t>andate</w:t>
      </w:r>
      <w:r w:rsidR="00834136">
        <w:t>s</w:t>
      </w:r>
    </w:p>
    <w:p w:rsidR="006846AA" w:rsidRPr="00F25A12" w:rsidRDefault="00022BC2" w:rsidP="00194C31">
      <w:pPr>
        <w:numPr>
          <w:ilvl w:val="0"/>
          <w:numId w:val="2"/>
        </w:numPr>
        <w:tabs>
          <w:tab w:val="num" w:pos="900"/>
        </w:tabs>
        <w:ind w:left="900"/>
      </w:pPr>
      <w:r w:rsidRPr="00022BC2">
        <w:rPr>
          <w:lang w:eastAsia="ko-KR"/>
        </w:rPr>
        <w:t>Review and discuss the text of Working Draft amendment of ISO/IEC 14496-22:2019_AMD2 to improve and update COLR v1 table / data structure descriptions</w:t>
      </w:r>
      <w:r w:rsidR="00F25A12" w:rsidRPr="00F25A12">
        <w:t>.</w:t>
      </w:r>
    </w:p>
    <w:p w:rsidR="00194C31" w:rsidRPr="00F25A12" w:rsidRDefault="00022BC2" w:rsidP="00194C31">
      <w:pPr>
        <w:numPr>
          <w:ilvl w:val="0"/>
          <w:numId w:val="2"/>
        </w:numPr>
        <w:tabs>
          <w:tab w:val="num" w:pos="900"/>
        </w:tabs>
        <w:ind w:left="900"/>
      </w:pPr>
      <w:r w:rsidRPr="00022BC2">
        <w:rPr>
          <w:lang w:eastAsia="ko-KR"/>
        </w:rPr>
        <w:t>Discuss clarifications and updates to other parts of the OFF specification, and submit AHG recommendations for proposed changes to address identified technical issues</w:t>
      </w:r>
      <w:r w:rsidR="00F25A12" w:rsidRPr="00F25A12">
        <w:t>.</w:t>
      </w:r>
    </w:p>
    <w:p w:rsidR="003A1EBE" w:rsidRDefault="00C007E1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 xml:space="preserve">Input </w:t>
      </w:r>
      <w:r w:rsidR="00F96CFD">
        <w:t>Contributions</w:t>
      </w:r>
      <w:r>
        <w:t xml:space="preserve"> for this</w:t>
      </w:r>
      <w:r w:rsidR="00733622">
        <w:t xml:space="preserve"> meeting</w:t>
      </w:r>
    </w:p>
    <w:tbl>
      <w:tblPr>
        <w:tblW w:w="85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7566"/>
      </w:tblGrid>
      <w:tr w:rsidR="00212B9D" w:rsidRPr="00172197" w:rsidTr="007D2186">
        <w:tc>
          <w:tcPr>
            <w:tcW w:w="961" w:type="dxa"/>
          </w:tcPr>
          <w:p w:rsidR="00212B9D" w:rsidRPr="00172197" w:rsidRDefault="00212B9D" w:rsidP="00CE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m56</w:t>
            </w:r>
            <w:r w:rsidR="00CE5FC4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566" w:type="dxa"/>
          </w:tcPr>
          <w:p w:rsidR="00212B9D" w:rsidRPr="00172197" w:rsidRDefault="00212B9D" w:rsidP="00212B9D">
            <w:pPr>
              <w:rPr>
                <w:rFonts w:ascii="Arial" w:hAnsi="Arial" w:cs="Arial"/>
                <w:sz w:val="20"/>
                <w:szCs w:val="20"/>
              </w:rPr>
            </w:pPr>
            <w:r w:rsidRPr="00172197">
              <w:rPr>
                <w:rFonts w:ascii="Arial" w:hAnsi="Arial" w:cs="Arial"/>
                <w:sz w:val="20"/>
                <w:szCs w:val="20"/>
              </w:rPr>
              <w:t>Report of the AHG on Font Format</w:t>
            </w:r>
          </w:p>
        </w:tc>
      </w:tr>
      <w:tr w:rsidR="00F04DC9" w:rsidRPr="00172197" w:rsidTr="007D2186">
        <w:tc>
          <w:tcPr>
            <w:tcW w:w="961" w:type="dxa"/>
          </w:tcPr>
          <w:p w:rsidR="00F04DC9" w:rsidRPr="00172197" w:rsidRDefault="00F25A12" w:rsidP="00CE5FC4">
            <w:pPr>
              <w:rPr>
                <w:rFonts w:ascii="Arial" w:hAnsi="Arial" w:cs="Arial"/>
                <w:sz w:val="20"/>
                <w:szCs w:val="20"/>
              </w:rPr>
            </w:pPr>
            <w:r w:rsidRPr="00172197">
              <w:rPr>
                <w:rFonts w:ascii="Arial" w:hAnsi="Arial" w:cs="Arial"/>
                <w:sz w:val="20"/>
                <w:szCs w:val="20"/>
              </w:rPr>
              <w:t>m5</w:t>
            </w:r>
            <w:r w:rsidR="00CE5FC4">
              <w:rPr>
                <w:rFonts w:ascii="Arial" w:hAnsi="Arial" w:cs="Arial"/>
                <w:sz w:val="20"/>
                <w:szCs w:val="20"/>
              </w:rPr>
              <w:t>6339</w:t>
            </w:r>
          </w:p>
        </w:tc>
        <w:tc>
          <w:tcPr>
            <w:tcW w:w="7566" w:type="dxa"/>
          </w:tcPr>
          <w:p w:rsidR="00F04DC9" w:rsidRPr="00CE5FC4" w:rsidRDefault="00CE5FC4" w:rsidP="00E617F5">
            <w:pPr>
              <w:rPr>
                <w:rFonts w:ascii="Arial" w:hAnsi="Arial" w:cs="Arial"/>
                <w:sz w:val="20"/>
                <w:szCs w:val="20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Adding support for sweep gradients in ISO/IEC 14496-22 AMD2</w:t>
            </w:r>
          </w:p>
        </w:tc>
      </w:tr>
      <w:tr w:rsidR="00F96CFD" w:rsidRPr="00172197" w:rsidTr="007D2186">
        <w:tc>
          <w:tcPr>
            <w:tcW w:w="961" w:type="dxa"/>
          </w:tcPr>
          <w:p w:rsidR="00F96CFD" w:rsidRPr="00172197" w:rsidRDefault="003413B5" w:rsidP="00CE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12B9D">
              <w:rPr>
                <w:rFonts w:ascii="Arial" w:hAnsi="Arial" w:cs="Arial"/>
                <w:sz w:val="20"/>
                <w:szCs w:val="20"/>
              </w:rPr>
              <w:t>5</w:t>
            </w:r>
            <w:r w:rsidR="00CE5FC4">
              <w:rPr>
                <w:rFonts w:ascii="Arial" w:hAnsi="Arial" w:cs="Arial"/>
                <w:sz w:val="20"/>
                <w:szCs w:val="20"/>
              </w:rPr>
              <w:t>6340</w:t>
            </w:r>
          </w:p>
        </w:tc>
        <w:tc>
          <w:tcPr>
            <w:tcW w:w="7566" w:type="dxa"/>
          </w:tcPr>
          <w:p w:rsidR="00F96CFD" w:rsidRPr="00CE5FC4" w:rsidRDefault="00CE5FC4" w:rsidP="00F96CFD">
            <w:pPr>
              <w:rPr>
                <w:rFonts w:ascii="Arial" w:hAnsi="Arial" w:cs="Arial"/>
                <w:sz w:val="20"/>
                <w:szCs w:val="20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>Clarifying interpolation of colors in ISO/IEC 14496-22 AMD2</w:t>
            </w:r>
          </w:p>
        </w:tc>
      </w:tr>
      <w:tr w:rsidR="00CE5FC4" w:rsidRPr="00172197" w:rsidTr="007D2186">
        <w:tc>
          <w:tcPr>
            <w:tcW w:w="961" w:type="dxa"/>
          </w:tcPr>
          <w:p w:rsidR="00CE5FC4" w:rsidRPr="00172197" w:rsidRDefault="00CE5FC4" w:rsidP="00CE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m5634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6" w:type="dxa"/>
          </w:tcPr>
          <w:p w:rsidR="00CE5FC4" w:rsidRPr="00CE5FC4" w:rsidRDefault="00CE5FC4" w:rsidP="00CE5FC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>Clarifying linear and radial gradients in ISO/IEC 14496-22 AMD2</w:t>
            </w:r>
          </w:p>
        </w:tc>
      </w:tr>
      <w:tr w:rsidR="00CE5FC4" w:rsidRPr="00172197" w:rsidTr="007D2186">
        <w:tc>
          <w:tcPr>
            <w:tcW w:w="961" w:type="dxa"/>
          </w:tcPr>
          <w:p w:rsidR="00CE5FC4" w:rsidRPr="00172197" w:rsidRDefault="00CE5FC4" w:rsidP="00CE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m5634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6" w:type="dxa"/>
          </w:tcPr>
          <w:p w:rsidR="00CE5FC4" w:rsidRPr="00CE5FC4" w:rsidRDefault="00CE5FC4" w:rsidP="00CE5FC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Adding support for non-variable paint table formats in ISO/IEC 14496-22 AMD2</w:t>
            </w:r>
          </w:p>
        </w:tc>
      </w:tr>
      <w:tr w:rsidR="00CE5FC4" w:rsidRPr="00172197" w:rsidTr="007D2186">
        <w:tc>
          <w:tcPr>
            <w:tcW w:w="961" w:type="dxa"/>
          </w:tcPr>
          <w:p w:rsidR="00CE5FC4" w:rsidRPr="00172197" w:rsidRDefault="00CE5FC4" w:rsidP="00CE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m5634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6" w:type="dxa"/>
          </w:tcPr>
          <w:p w:rsidR="00CE5FC4" w:rsidRPr="00CE5FC4" w:rsidRDefault="00CE5FC4" w:rsidP="00CE5FC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E5FC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Proposed additional updates in ISO/IEC 14496-22 AMD2</w:t>
            </w:r>
          </w:p>
        </w:tc>
      </w:tr>
    </w:tbl>
    <w:p w:rsidR="00436009" w:rsidRDefault="00436009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>AHG Activities</w:t>
      </w:r>
    </w:p>
    <w:p w:rsidR="009955BB" w:rsidRDefault="00212B9D" w:rsidP="009955BB">
      <w:pPr>
        <w:numPr>
          <w:ilvl w:val="3"/>
          <w:numId w:val="3"/>
        </w:numPr>
      </w:pPr>
      <w:r>
        <w:t xml:space="preserve"> </w:t>
      </w:r>
      <w:r w:rsidR="00F90846">
        <w:t xml:space="preserve">The vast majority of COLR v1 related </w:t>
      </w:r>
      <w:r>
        <w:t xml:space="preserve">discussions </w:t>
      </w:r>
      <w:r w:rsidR="00F90846">
        <w:t xml:space="preserve">[to address the first mandate of the AHG] have happened in </w:t>
      </w:r>
      <w:r w:rsidR="00F90846">
        <w:t xml:space="preserve">the </w:t>
      </w:r>
      <w:hyperlink r:id="rId7" w:history="1">
        <w:r w:rsidR="00F90846" w:rsidRPr="00086774">
          <w:rPr>
            <w:rStyle w:val="Hyperlink"/>
          </w:rPr>
          <w:t>public GitHub repo</w:t>
        </w:r>
      </w:hyperlink>
      <w:r w:rsidR="00F90846">
        <w:t>, where many AHG members are active participants and collaborators.</w:t>
      </w:r>
      <w:r w:rsidR="00F90846">
        <w:t xml:space="preserve"> C</w:t>
      </w:r>
      <w:r>
        <w:t xml:space="preserve">overing a variety of topics, </w:t>
      </w:r>
      <w:r w:rsidR="00F90846">
        <w:t>these discussions were mainly centered on addressing the issues that were identified at the 2</w:t>
      </w:r>
      <w:r w:rsidR="00F90846" w:rsidRPr="00F90846">
        <w:rPr>
          <w:vertAlign w:val="superscript"/>
        </w:rPr>
        <w:t>nd</w:t>
      </w:r>
      <w:r w:rsidR="00F90846">
        <w:t xml:space="preserve"> WG3 MPEG Systems meeting summarized in the break-out group </w:t>
      </w:r>
      <w:r w:rsidR="00B8057A">
        <w:t xml:space="preserve">(BOG) </w:t>
      </w:r>
      <w:r w:rsidR="00F90846">
        <w:t xml:space="preserve">report </w:t>
      </w:r>
      <w:r w:rsidR="00F90846">
        <w:t>(</w:t>
      </w:r>
      <w:r w:rsidR="00F90846">
        <w:t xml:space="preserve">see </w:t>
      </w:r>
      <w:r w:rsidR="00F90846" w:rsidRPr="00F90846">
        <w:rPr>
          <w:b/>
        </w:rPr>
        <w:t>m56219</w:t>
      </w:r>
      <w:r w:rsidR="00F90846">
        <w:rPr>
          <w:b/>
        </w:rPr>
        <w:t xml:space="preserve"> </w:t>
      </w:r>
      <w:r w:rsidR="00F90846" w:rsidRPr="00F90846">
        <w:t>from the last meeting</w:t>
      </w:r>
      <w:r w:rsidR="00F90846">
        <w:t xml:space="preserve">), and the results of the discussions and proposed changes were also summarized in the </w:t>
      </w:r>
      <w:hyperlink r:id="rId8" w:history="1">
        <w:proofErr w:type="spellStart"/>
        <w:r w:rsidR="00B8057A" w:rsidRPr="00086774">
          <w:rPr>
            <w:rStyle w:val="Hyperlink"/>
          </w:rPr>
          <w:t>MPEGGroup</w:t>
        </w:r>
        <w:proofErr w:type="spellEnd"/>
        <w:r w:rsidR="00B8057A" w:rsidRPr="00086774">
          <w:rPr>
            <w:rStyle w:val="Hyperlink"/>
          </w:rPr>
          <w:t>/</w:t>
        </w:r>
        <w:proofErr w:type="spellStart"/>
        <w:r w:rsidR="00B8057A" w:rsidRPr="00086774">
          <w:rPr>
            <w:rStyle w:val="Hyperlink"/>
          </w:rPr>
          <w:t>OpenFontFormat</w:t>
        </w:r>
        <w:proofErr w:type="spellEnd"/>
        <w:r w:rsidR="00B8057A" w:rsidRPr="00086774">
          <w:rPr>
            <w:rStyle w:val="Hyperlink"/>
          </w:rPr>
          <w:t xml:space="preserve"> GitHub repo</w:t>
        </w:r>
      </w:hyperlink>
      <w:r w:rsidR="00B8057A">
        <w:t>, see issues 41 – 45 for details</w:t>
      </w:r>
      <w:r w:rsidR="009955BB">
        <w:t>.</w:t>
      </w:r>
    </w:p>
    <w:p w:rsidR="009955BB" w:rsidRPr="009955BB" w:rsidRDefault="0079157F" w:rsidP="009955BB">
      <w:pPr>
        <w:numPr>
          <w:ilvl w:val="3"/>
          <w:numId w:val="3"/>
        </w:numPr>
      </w:pPr>
      <w:r>
        <w:t xml:space="preserve">Summary of discussions </w:t>
      </w:r>
      <w:r w:rsidR="00B8057A">
        <w:t xml:space="preserve">and proposed changes </w:t>
      </w:r>
      <w:r>
        <w:t>relevant to the AHG mandates:</w:t>
      </w:r>
    </w:p>
    <w:p w:rsidR="005755F0" w:rsidRDefault="0076529B" w:rsidP="005E7F49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Updates to COLR v1 tables / data structures specification</w:t>
      </w:r>
      <w:r w:rsidR="00DC22BD" w:rsidRPr="000E3E86">
        <w:rPr>
          <w:i/>
        </w:rPr>
        <w:t>.</w:t>
      </w:r>
      <w:r w:rsidR="005755F0">
        <w:br/>
      </w:r>
      <w:r>
        <w:t xml:space="preserve">Substantial amount of </w:t>
      </w:r>
      <w:r w:rsidR="00B8057A">
        <w:t xml:space="preserve">proposed changes are addressing issues identified during the BOG discussion and documented in </w:t>
      </w:r>
      <w:r w:rsidR="008E59FF" w:rsidRPr="008E59FF">
        <w:rPr>
          <w:b/>
        </w:rPr>
        <w:t>m5</w:t>
      </w:r>
      <w:r w:rsidR="00B8057A" w:rsidRPr="00F90846">
        <w:rPr>
          <w:b/>
        </w:rPr>
        <w:t>6219</w:t>
      </w:r>
      <w:r w:rsidR="00E53F7A">
        <w:t>.</w:t>
      </w:r>
      <w:r w:rsidR="00B8057A">
        <w:t xml:space="preserve"> </w:t>
      </w:r>
      <w:r w:rsidR="00E53F7A">
        <w:br/>
      </w:r>
      <w:r w:rsidR="00E53F7A" w:rsidRPr="00E53F7A">
        <w:rPr>
          <w:rFonts w:ascii="Arial" w:hAnsi="Arial" w:cs="Arial"/>
          <w:b/>
          <w:sz w:val="20"/>
          <w:szCs w:val="20"/>
        </w:rPr>
        <w:t>m56340</w:t>
      </w:r>
      <w:r w:rsidR="00E53F7A">
        <w:rPr>
          <w:rFonts w:ascii="Arial" w:hAnsi="Arial" w:cs="Arial"/>
          <w:sz w:val="20"/>
          <w:szCs w:val="20"/>
        </w:rPr>
        <w:t xml:space="preserve">: </w:t>
      </w:r>
      <w:r w:rsidR="00B8057A">
        <w:t xml:space="preserve">The </w:t>
      </w:r>
      <w:r w:rsidR="00E53F7A">
        <w:t>contribution addresses the issues related to color interpolation that were not sufficiently specified in the Working Draft of AMD2;</w:t>
      </w:r>
      <w:r w:rsidR="00E53F7A">
        <w:br/>
      </w:r>
      <w:r w:rsidR="00E53F7A" w:rsidRPr="00E53F7A">
        <w:rPr>
          <w:rFonts w:ascii="Arial" w:hAnsi="Arial" w:cs="Arial"/>
          <w:b/>
          <w:sz w:val="20"/>
          <w:szCs w:val="20"/>
        </w:rPr>
        <w:t>m5634</w:t>
      </w:r>
      <w:r w:rsidR="00E53F7A" w:rsidRPr="00E53F7A">
        <w:rPr>
          <w:rFonts w:ascii="Arial" w:hAnsi="Arial" w:cs="Arial"/>
          <w:b/>
          <w:sz w:val="20"/>
          <w:szCs w:val="20"/>
        </w:rPr>
        <w:t>1</w:t>
      </w:r>
      <w:r w:rsidR="00E53F7A">
        <w:rPr>
          <w:rFonts w:ascii="Arial" w:hAnsi="Arial" w:cs="Arial"/>
          <w:sz w:val="20"/>
          <w:szCs w:val="20"/>
        </w:rPr>
        <w:t xml:space="preserve">: </w:t>
      </w:r>
      <w:r w:rsidR="00E53F7A">
        <w:t>The contribution proposes updated language to address the</w:t>
      </w:r>
      <w:r w:rsidR="00E53F7A">
        <w:t xml:space="preserve"> various</w:t>
      </w:r>
      <w:r w:rsidR="00E53F7A">
        <w:t xml:space="preserve"> issues </w:t>
      </w:r>
      <w:r w:rsidR="00E53F7A">
        <w:lastRenderedPageBreak/>
        <w:t>related to descriptions of linear and radial gradients</w:t>
      </w:r>
      <w:r w:rsidR="00E53F7A">
        <w:t>;</w:t>
      </w:r>
    </w:p>
    <w:p w:rsidR="00D77979" w:rsidRDefault="003B6AC8" w:rsidP="00DD26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>
        <w:rPr>
          <w:i/>
        </w:rPr>
        <w:t>Proposed new changes and amendments</w:t>
      </w:r>
      <w:r w:rsidR="00DC22BD" w:rsidRPr="000E3E86">
        <w:rPr>
          <w:i/>
        </w:rPr>
        <w:t>.</w:t>
      </w:r>
      <w:r w:rsidR="00F25A12">
        <w:br/>
      </w:r>
      <w:r w:rsidR="004856B0">
        <w:t>Th</w:t>
      </w:r>
      <w:r>
        <w:t xml:space="preserve">ree additional proposals introduce </w:t>
      </w:r>
      <w:r w:rsidR="000B08C2">
        <w:t xml:space="preserve">proposed new </w:t>
      </w:r>
      <w:r>
        <w:t>changes.</w:t>
      </w:r>
      <w:r w:rsidR="000B08C2">
        <w:br/>
      </w:r>
      <w:r w:rsidR="000B08C2" w:rsidRPr="00E53F7A">
        <w:rPr>
          <w:rFonts w:ascii="Arial" w:hAnsi="Arial" w:cs="Arial"/>
          <w:b/>
          <w:sz w:val="20"/>
          <w:szCs w:val="20"/>
        </w:rPr>
        <w:t>m563</w:t>
      </w:r>
      <w:r w:rsidR="000B08C2">
        <w:rPr>
          <w:rFonts w:ascii="Arial" w:hAnsi="Arial" w:cs="Arial"/>
          <w:b/>
          <w:sz w:val="20"/>
          <w:szCs w:val="20"/>
        </w:rPr>
        <w:t>39</w:t>
      </w:r>
      <w:r w:rsidR="000B08C2">
        <w:rPr>
          <w:rFonts w:ascii="Arial" w:hAnsi="Arial" w:cs="Arial"/>
          <w:sz w:val="20"/>
          <w:szCs w:val="20"/>
        </w:rPr>
        <w:t xml:space="preserve">: </w:t>
      </w:r>
      <w:r w:rsidR="000B08C2">
        <w:t>The contribution proposes</w:t>
      </w:r>
      <w:r w:rsidR="000B08C2">
        <w:t xml:space="preserve"> adding support for sweep color gradients, in addition to linear and radial gradients that are already a part of the amendment;</w:t>
      </w:r>
      <w:r w:rsidR="000B08C2">
        <w:br/>
      </w:r>
      <w:r w:rsidR="000B08C2" w:rsidRPr="00E53F7A">
        <w:rPr>
          <w:rFonts w:ascii="Arial" w:hAnsi="Arial" w:cs="Arial"/>
          <w:b/>
          <w:sz w:val="20"/>
          <w:szCs w:val="20"/>
        </w:rPr>
        <w:t>m5634</w:t>
      </w:r>
      <w:r w:rsidR="000B08C2">
        <w:rPr>
          <w:rFonts w:ascii="Arial" w:hAnsi="Arial" w:cs="Arial"/>
          <w:b/>
          <w:sz w:val="20"/>
          <w:szCs w:val="20"/>
        </w:rPr>
        <w:t>2</w:t>
      </w:r>
      <w:r w:rsidR="000B08C2">
        <w:rPr>
          <w:rFonts w:ascii="Arial" w:hAnsi="Arial" w:cs="Arial"/>
          <w:sz w:val="20"/>
          <w:szCs w:val="20"/>
        </w:rPr>
        <w:t xml:space="preserve">: </w:t>
      </w:r>
      <w:r w:rsidR="000B08C2">
        <w:t>The contribution proposes</w:t>
      </w:r>
      <w:r w:rsidR="000B08C2">
        <w:t xml:space="preserve"> additional paint formats that can be used </w:t>
      </w:r>
      <w:r w:rsidR="00DD2612">
        <w:t xml:space="preserve">in non-variable fonts resulting in a significant increase of coding efficiency and eliminating the variable font “size tax” (see </w:t>
      </w:r>
      <w:hyperlink r:id="rId9" w:history="1">
        <w:r w:rsidR="00DD2612" w:rsidRPr="00DD2612">
          <w:rPr>
            <w:rStyle w:val="Hyperlink"/>
          </w:rPr>
          <w:t>issue 43</w:t>
        </w:r>
      </w:hyperlink>
      <w:r w:rsidR="00DD2612">
        <w:t xml:space="preserve"> for details);</w:t>
      </w:r>
      <w:r w:rsidR="00DD2612">
        <w:br/>
      </w:r>
      <w:r w:rsidR="00DD2612" w:rsidRPr="00E53F7A">
        <w:rPr>
          <w:rFonts w:ascii="Arial" w:hAnsi="Arial" w:cs="Arial"/>
          <w:b/>
          <w:sz w:val="20"/>
          <w:szCs w:val="20"/>
        </w:rPr>
        <w:t>m5634</w:t>
      </w:r>
      <w:r w:rsidR="00DD2612">
        <w:rPr>
          <w:rFonts w:ascii="Arial" w:hAnsi="Arial" w:cs="Arial"/>
          <w:b/>
          <w:sz w:val="20"/>
          <w:szCs w:val="20"/>
        </w:rPr>
        <w:t>3</w:t>
      </w:r>
      <w:r w:rsidR="00DD2612">
        <w:rPr>
          <w:rFonts w:ascii="Arial" w:hAnsi="Arial" w:cs="Arial"/>
          <w:sz w:val="20"/>
          <w:szCs w:val="20"/>
        </w:rPr>
        <w:t xml:space="preserve">: </w:t>
      </w:r>
      <w:r w:rsidR="00DD2612">
        <w:t>The contribution</w:t>
      </w:r>
      <w:r w:rsidR="00DD2612">
        <w:t xml:space="preserve"> proposes additional miscellaneous updates that have been discussed on the AHG list (‘DSIG’ table and algorithm description), including corrections and updates to other parts of the OFF text (see </w:t>
      </w:r>
      <w:hyperlink r:id="rId10" w:history="1">
        <w:r w:rsidR="00DD2612" w:rsidRPr="00DD2612">
          <w:rPr>
            <w:rStyle w:val="Hyperlink"/>
          </w:rPr>
          <w:t>issue 45</w:t>
        </w:r>
      </w:hyperlink>
      <w:r w:rsidR="00DD2612">
        <w:t xml:space="preserve"> for details).</w:t>
      </w:r>
    </w:p>
    <w:p w:rsidR="008E5DF3" w:rsidRDefault="008E5DF3" w:rsidP="00FF098F">
      <w:pPr>
        <w:pStyle w:val="Heading1"/>
        <w:numPr>
          <w:ilvl w:val="0"/>
          <w:numId w:val="3"/>
        </w:numPr>
        <w:tabs>
          <w:tab w:val="clear" w:pos="2138"/>
          <w:tab w:val="num" w:pos="540"/>
        </w:tabs>
        <w:ind w:hanging="2138"/>
      </w:pPr>
      <w:r>
        <w:t>AHG Recommendations</w:t>
      </w:r>
    </w:p>
    <w:p w:rsidR="00901D01" w:rsidRDefault="00D34D9A" w:rsidP="00015312">
      <w:pPr>
        <w:autoSpaceDE w:val="0"/>
        <w:autoSpaceDN w:val="0"/>
        <w:adjustRightInd w:val="0"/>
        <w:ind w:left="540"/>
      </w:pPr>
      <w:r>
        <w:t>The AHG recomme</w:t>
      </w:r>
      <w:r w:rsidR="00015312">
        <w:t xml:space="preserve">nds </w:t>
      </w:r>
      <w:r w:rsidR="00DD2612">
        <w:t>to</w:t>
      </w:r>
      <w:r w:rsidR="005B6636">
        <w:t xml:space="preserve"> accepted </w:t>
      </w:r>
      <w:r w:rsidR="00B542AB">
        <w:t>all</w:t>
      </w:r>
      <w:r w:rsidR="00DD2612">
        <w:t xml:space="preserve"> proposed changes, and to </w:t>
      </w:r>
      <w:r w:rsidR="00B542AB">
        <w:t xml:space="preserve">implement them as part of </w:t>
      </w:r>
      <w:r w:rsidR="005B6636">
        <w:t>the Working Draft of ISO/IEC 14496-22:2019 AMD2</w:t>
      </w:r>
      <w:r w:rsidR="00C92A93">
        <w:t>.</w:t>
      </w:r>
    </w:p>
    <w:p w:rsidR="00901D01" w:rsidRDefault="00901D01" w:rsidP="00015312">
      <w:pPr>
        <w:autoSpaceDE w:val="0"/>
        <w:autoSpaceDN w:val="0"/>
        <w:adjustRightInd w:val="0"/>
        <w:ind w:left="540"/>
      </w:pPr>
    </w:p>
    <w:p w:rsidR="00A8739A" w:rsidRPr="00B845CF" w:rsidRDefault="00C92A93" w:rsidP="00015312">
      <w:pPr>
        <w:autoSpaceDE w:val="0"/>
        <w:autoSpaceDN w:val="0"/>
        <w:adjustRightInd w:val="0"/>
        <w:ind w:left="540"/>
      </w:pPr>
      <w:r w:rsidRPr="00FA5337">
        <w:t xml:space="preserve">The AHG also recommends </w:t>
      </w:r>
      <w:r w:rsidR="005B6636" w:rsidRPr="00FA5337">
        <w:t xml:space="preserve">that the updated Working Draft of ISO/IEC 14496-22:2019 AMD2 should be promoted to Proposed Draft Amendment stage, and that a two-months ballot is opened upon the conclusion of the WG3 meeting to allow sufficient time for ballot comments be processed at the next WG meeting in </w:t>
      </w:r>
      <w:r w:rsidR="00B542AB">
        <w:t>July</w:t>
      </w:r>
      <w:bookmarkStart w:id="0" w:name="_GoBack"/>
      <w:bookmarkEnd w:id="0"/>
      <w:r w:rsidR="005B6636" w:rsidRPr="00FA5337">
        <w:t xml:space="preserve"> 2021</w:t>
      </w:r>
      <w:r w:rsidR="00015312" w:rsidRPr="00FA5337">
        <w:t>.</w:t>
      </w:r>
    </w:p>
    <w:sectPr w:rsidR="00A8739A" w:rsidRPr="00B845CF" w:rsidSect="00DE1A23">
      <w:footerReference w:type="even" r:id="rId11"/>
      <w:footerReference w:type="default" r:id="rId12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EE" w:rsidRDefault="009745EE">
      <w:r>
        <w:separator/>
      </w:r>
    </w:p>
  </w:endnote>
  <w:endnote w:type="continuationSeparator" w:id="0">
    <w:p w:rsidR="009745EE" w:rsidRDefault="0097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8E" w:rsidRDefault="00B26E8E" w:rsidP="00721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E8E" w:rsidRDefault="00B26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8E" w:rsidRDefault="00B2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EE" w:rsidRDefault="009745EE">
      <w:r>
        <w:separator/>
      </w:r>
    </w:p>
  </w:footnote>
  <w:footnote w:type="continuationSeparator" w:id="0">
    <w:p w:rsidR="009745EE" w:rsidRDefault="0097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22A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14FA"/>
    <w:multiLevelType w:val="hybridMultilevel"/>
    <w:tmpl w:val="C9FED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0E5"/>
    <w:multiLevelType w:val="hybridMultilevel"/>
    <w:tmpl w:val="09C88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21C84"/>
    <w:multiLevelType w:val="hybridMultilevel"/>
    <w:tmpl w:val="3C725CE4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3B4DB6E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616B6"/>
    <w:multiLevelType w:val="hybridMultilevel"/>
    <w:tmpl w:val="FD2638EC"/>
    <w:lvl w:ilvl="0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A6A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F268D"/>
    <w:multiLevelType w:val="hybridMultilevel"/>
    <w:tmpl w:val="1036606E"/>
    <w:lvl w:ilvl="0" w:tplc="1B6EAC9C">
      <w:start w:val="2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D10A27AE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B9849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46211078"/>
    <w:multiLevelType w:val="singleLevel"/>
    <w:tmpl w:val="7D769BA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C3378B"/>
    <w:multiLevelType w:val="hybridMultilevel"/>
    <w:tmpl w:val="187469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C32CC8"/>
    <w:multiLevelType w:val="hybridMultilevel"/>
    <w:tmpl w:val="3C3890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800CA4"/>
    <w:multiLevelType w:val="hybridMultilevel"/>
    <w:tmpl w:val="36E45210"/>
    <w:lvl w:ilvl="0" w:tplc="59A6A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8132D2"/>
    <w:multiLevelType w:val="hybridMultilevel"/>
    <w:tmpl w:val="78085AEE"/>
    <w:lvl w:ilvl="0" w:tplc="9C6A2A50"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D9ECDAE4">
      <w:start w:val="1"/>
      <w:numFmt w:val="upperRoman"/>
      <w:lvlText w:val="%4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4"/>
    <w:rsid w:val="0000256C"/>
    <w:rsid w:val="00010B97"/>
    <w:rsid w:val="000126BD"/>
    <w:rsid w:val="00012EF9"/>
    <w:rsid w:val="00013263"/>
    <w:rsid w:val="00015312"/>
    <w:rsid w:val="00022BC2"/>
    <w:rsid w:val="00024B4C"/>
    <w:rsid w:val="000259F7"/>
    <w:rsid w:val="000266FA"/>
    <w:rsid w:val="00027DAC"/>
    <w:rsid w:val="00036AD0"/>
    <w:rsid w:val="000423A6"/>
    <w:rsid w:val="00043509"/>
    <w:rsid w:val="0004382F"/>
    <w:rsid w:val="00052B21"/>
    <w:rsid w:val="00054323"/>
    <w:rsid w:val="00062CC3"/>
    <w:rsid w:val="00064386"/>
    <w:rsid w:val="00065D4C"/>
    <w:rsid w:val="00066591"/>
    <w:rsid w:val="000705C5"/>
    <w:rsid w:val="00070AB3"/>
    <w:rsid w:val="00077165"/>
    <w:rsid w:val="00086774"/>
    <w:rsid w:val="00086CF7"/>
    <w:rsid w:val="00093B4A"/>
    <w:rsid w:val="00095251"/>
    <w:rsid w:val="00097443"/>
    <w:rsid w:val="000A2427"/>
    <w:rsid w:val="000A2507"/>
    <w:rsid w:val="000A4159"/>
    <w:rsid w:val="000A5F64"/>
    <w:rsid w:val="000B08C2"/>
    <w:rsid w:val="000B4AE7"/>
    <w:rsid w:val="000B644C"/>
    <w:rsid w:val="000B7328"/>
    <w:rsid w:val="000C1F29"/>
    <w:rsid w:val="000C3106"/>
    <w:rsid w:val="000C639B"/>
    <w:rsid w:val="000C7935"/>
    <w:rsid w:val="000D1071"/>
    <w:rsid w:val="000D13DD"/>
    <w:rsid w:val="000D77FA"/>
    <w:rsid w:val="000E279D"/>
    <w:rsid w:val="000E2FBE"/>
    <w:rsid w:val="000E3E86"/>
    <w:rsid w:val="000F0FB3"/>
    <w:rsid w:val="000F72DB"/>
    <w:rsid w:val="001049AA"/>
    <w:rsid w:val="00106ED4"/>
    <w:rsid w:val="00113D61"/>
    <w:rsid w:val="001155D1"/>
    <w:rsid w:val="00121E53"/>
    <w:rsid w:val="00130FE4"/>
    <w:rsid w:val="001312AD"/>
    <w:rsid w:val="00143099"/>
    <w:rsid w:val="00143931"/>
    <w:rsid w:val="0014393B"/>
    <w:rsid w:val="001526C4"/>
    <w:rsid w:val="0016030B"/>
    <w:rsid w:val="00165BFC"/>
    <w:rsid w:val="00166811"/>
    <w:rsid w:val="00167A06"/>
    <w:rsid w:val="00172197"/>
    <w:rsid w:val="00182CF3"/>
    <w:rsid w:val="001923DB"/>
    <w:rsid w:val="00194C31"/>
    <w:rsid w:val="001951A6"/>
    <w:rsid w:val="001975BF"/>
    <w:rsid w:val="001A0671"/>
    <w:rsid w:val="001A0749"/>
    <w:rsid w:val="001A6BE9"/>
    <w:rsid w:val="001A701E"/>
    <w:rsid w:val="001C3BAB"/>
    <w:rsid w:val="001C4A30"/>
    <w:rsid w:val="001D4257"/>
    <w:rsid w:val="001D4794"/>
    <w:rsid w:val="001E01DB"/>
    <w:rsid w:val="001E61F1"/>
    <w:rsid w:val="001E71C2"/>
    <w:rsid w:val="001F17A9"/>
    <w:rsid w:val="001F2D53"/>
    <w:rsid w:val="001F316E"/>
    <w:rsid w:val="001F566F"/>
    <w:rsid w:val="00200079"/>
    <w:rsid w:val="0020335E"/>
    <w:rsid w:val="00211466"/>
    <w:rsid w:val="00212B9D"/>
    <w:rsid w:val="0022129B"/>
    <w:rsid w:val="00231F2A"/>
    <w:rsid w:val="00234613"/>
    <w:rsid w:val="002458B7"/>
    <w:rsid w:val="00250AB0"/>
    <w:rsid w:val="002551A7"/>
    <w:rsid w:val="00256533"/>
    <w:rsid w:val="002631C9"/>
    <w:rsid w:val="00264931"/>
    <w:rsid w:val="00270850"/>
    <w:rsid w:val="00273632"/>
    <w:rsid w:val="0027394A"/>
    <w:rsid w:val="0027489D"/>
    <w:rsid w:val="00280B9C"/>
    <w:rsid w:val="00280E96"/>
    <w:rsid w:val="00281949"/>
    <w:rsid w:val="002852E6"/>
    <w:rsid w:val="00286C3B"/>
    <w:rsid w:val="00291F9E"/>
    <w:rsid w:val="00295540"/>
    <w:rsid w:val="00297384"/>
    <w:rsid w:val="002A5871"/>
    <w:rsid w:val="002B0F1C"/>
    <w:rsid w:val="002B2758"/>
    <w:rsid w:val="002C3DAB"/>
    <w:rsid w:val="002C508C"/>
    <w:rsid w:val="002E38E3"/>
    <w:rsid w:val="002E5A84"/>
    <w:rsid w:val="002E6CE9"/>
    <w:rsid w:val="002F056D"/>
    <w:rsid w:val="002F7A55"/>
    <w:rsid w:val="0030097E"/>
    <w:rsid w:val="00301F34"/>
    <w:rsid w:val="003143C5"/>
    <w:rsid w:val="0031619F"/>
    <w:rsid w:val="0031733C"/>
    <w:rsid w:val="00323F5C"/>
    <w:rsid w:val="00323FD8"/>
    <w:rsid w:val="00326E4A"/>
    <w:rsid w:val="0033064A"/>
    <w:rsid w:val="00333603"/>
    <w:rsid w:val="003342BB"/>
    <w:rsid w:val="003413B5"/>
    <w:rsid w:val="003419E6"/>
    <w:rsid w:val="00343355"/>
    <w:rsid w:val="00352593"/>
    <w:rsid w:val="003576DC"/>
    <w:rsid w:val="00365F6A"/>
    <w:rsid w:val="00372F54"/>
    <w:rsid w:val="00373910"/>
    <w:rsid w:val="003819AE"/>
    <w:rsid w:val="00382A8D"/>
    <w:rsid w:val="00384918"/>
    <w:rsid w:val="00386A34"/>
    <w:rsid w:val="00390748"/>
    <w:rsid w:val="00391A85"/>
    <w:rsid w:val="003930E5"/>
    <w:rsid w:val="00396410"/>
    <w:rsid w:val="003A10C7"/>
    <w:rsid w:val="003A17FB"/>
    <w:rsid w:val="003A1EBE"/>
    <w:rsid w:val="003A2A84"/>
    <w:rsid w:val="003A47C4"/>
    <w:rsid w:val="003A4D69"/>
    <w:rsid w:val="003B094E"/>
    <w:rsid w:val="003B0EE7"/>
    <w:rsid w:val="003B17C8"/>
    <w:rsid w:val="003B1F67"/>
    <w:rsid w:val="003B3639"/>
    <w:rsid w:val="003B4309"/>
    <w:rsid w:val="003B6AC8"/>
    <w:rsid w:val="003C0498"/>
    <w:rsid w:val="003C3213"/>
    <w:rsid w:val="003C324D"/>
    <w:rsid w:val="003D1407"/>
    <w:rsid w:val="003D5F16"/>
    <w:rsid w:val="003E3A5C"/>
    <w:rsid w:val="003E568A"/>
    <w:rsid w:val="003E7AC9"/>
    <w:rsid w:val="003F20CC"/>
    <w:rsid w:val="003F36C7"/>
    <w:rsid w:val="003F6419"/>
    <w:rsid w:val="003F7AF9"/>
    <w:rsid w:val="004013F6"/>
    <w:rsid w:val="004016FC"/>
    <w:rsid w:val="00410C05"/>
    <w:rsid w:val="00411E8A"/>
    <w:rsid w:val="00413E27"/>
    <w:rsid w:val="00414F1D"/>
    <w:rsid w:val="004176BA"/>
    <w:rsid w:val="00424BC1"/>
    <w:rsid w:val="00427283"/>
    <w:rsid w:val="004324E8"/>
    <w:rsid w:val="00432620"/>
    <w:rsid w:val="00432FCE"/>
    <w:rsid w:val="00436009"/>
    <w:rsid w:val="0044005E"/>
    <w:rsid w:val="00444343"/>
    <w:rsid w:val="00445B49"/>
    <w:rsid w:val="0044747D"/>
    <w:rsid w:val="004505F7"/>
    <w:rsid w:val="004710CE"/>
    <w:rsid w:val="00473BDE"/>
    <w:rsid w:val="0048084B"/>
    <w:rsid w:val="0048096D"/>
    <w:rsid w:val="00482C05"/>
    <w:rsid w:val="004856B0"/>
    <w:rsid w:val="0048711A"/>
    <w:rsid w:val="004A018E"/>
    <w:rsid w:val="004A27CC"/>
    <w:rsid w:val="004A391E"/>
    <w:rsid w:val="004A39FD"/>
    <w:rsid w:val="004B39BC"/>
    <w:rsid w:val="004C51EF"/>
    <w:rsid w:val="004C7476"/>
    <w:rsid w:val="004D5D22"/>
    <w:rsid w:val="004D77E2"/>
    <w:rsid w:val="004E33E3"/>
    <w:rsid w:val="004E4981"/>
    <w:rsid w:val="004E6400"/>
    <w:rsid w:val="004F04A3"/>
    <w:rsid w:val="004F0568"/>
    <w:rsid w:val="004F5E35"/>
    <w:rsid w:val="004F6CD2"/>
    <w:rsid w:val="00503904"/>
    <w:rsid w:val="005050A8"/>
    <w:rsid w:val="00506421"/>
    <w:rsid w:val="0050769E"/>
    <w:rsid w:val="00514F82"/>
    <w:rsid w:val="005203C0"/>
    <w:rsid w:val="005227CC"/>
    <w:rsid w:val="00525B4C"/>
    <w:rsid w:val="005328E0"/>
    <w:rsid w:val="005343A1"/>
    <w:rsid w:val="00542F39"/>
    <w:rsid w:val="005477CB"/>
    <w:rsid w:val="005531AC"/>
    <w:rsid w:val="0056108E"/>
    <w:rsid w:val="00562016"/>
    <w:rsid w:val="00566692"/>
    <w:rsid w:val="005755F0"/>
    <w:rsid w:val="00580742"/>
    <w:rsid w:val="00581891"/>
    <w:rsid w:val="00593258"/>
    <w:rsid w:val="00594A4A"/>
    <w:rsid w:val="00596909"/>
    <w:rsid w:val="0059710C"/>
    <w:rsid w:val="005A5C6E"/>
    <w:rsid w:val="005A74B8"/>
    <w:rsid w:val="005A7764"/>
    <w:rsid w:val="005B284F"/>
    <w:rsid w:val="005B6636"/>
    <w:rsid w:val="005E13A9"/>
    <w:rsid w:val="005E3C39"/>
    <w:rsid w:val="005E5DFE"/>
    <w:rsid w:val="005E7F49"/>
    <w:rsid w:val="005F02FE"/>
    <w:rsid w:val="00612574"/>
    <w:rsid w:val="006174F5"/>
    <w:rsid w:val="00620039"/>
    <w:rsid w:val="00627F88"/>
    <w:rsid w:val="00634A0C"/>
    <w:rsid w:val="00634A5B"/>
    <w:rsid w:val="006449FA"/>
    <w:rsid w:val="00651338"/>
    <w:rsid w:val="00654A3E"/>
    <w:rsid w:val="006608C8"/>
    <w:rsid w:val="00661C95"/>
    <w:rsid w:val="006665A9"/>
    <w:rsid w:val="00674DCD"/>
    <w:rsid w:val="006800C0"/>
    <w:rsid w:val="006831A4"/>
    <w:rsid w:val="006846AA"/>
    <w:rsid w:val="0068720F"/>
    <w:rsid w:val="00687FD9"/>
    <w:rsid w:val="00694594"/>
    <w:rsid w:val="0069465A"/>
    <w:rsid w:val="00697348"/>
    <w:rsid w:val="006A1773"/>
    <w:rsid w:val="006A491B"/>
    <w:rsid w:val="006A5EC8"/>
    <w:rsid w:val="006A658F"/>
    <w:rsid w:val="006C05F6"/>
    <w:rsid w:val="006C5B59"/>
    <w:rsid w:val="006C6C06"/>
    <w:rsid w:val="006D71B5"/>
    <w:rsid w:val="006E0BD2"/>
    <w:rsid w:val="006E103D"/>
    <w:rsid w:val="006E7BF9"/>
    <w:rsid w:val="006F0AF5"/>
    <w:rsid w:val="00705926"/>
    <w:rsid w:val="007071C8"/>
    <w:rsid w:val="0071092A"/>
    <w:rsid w:val="00720286"/>
    <w:rsid w:val="00721601"/>
    <w:rsid w:val="0072306C"/>
    <w:rsid w:val="00733622"/>
    <w:rsid w:val="007336D2"/>
    <w:rsid w:val="00734560"/>
    <w:rsid w:val="007358DD"/>
    <w:rsid w:val="00736F06"/>
    <w:rsid w:val="00740652"/>
    <w:rsid w:val="00740844"/>
    <w:rsid w:val="00740A54"/>
    <w:rsid w:val="00741931"/>
    <w:rsid w:val="00742FEB"/>
    <w:rsid w:val="007501FE"/>
    <w:rsid w:val="00755599"/>
    <w:rsid w:val="00756D98"/>
    <w:rsid w:val="0076529B"/>
    <w:rsid w:val="00770D38"/>
    <w:rsid w:val="00773F34"/>
    <w:rsid w:val="0078721D"/>
    <w:rsid w:val="0079157F"/>
    <w:rsid w:val="00791936"/>
    <w:rsid w:val="007957FB"/>
    <w:rsid w:val="007B1097"/>
    <w:rsid w:val="007B30B8"/>
    <w:rsid w:val="007C206B"/>
    <w:rsid w:val="007C4144"/>
    <w:rsid w:val="007D2186"/>
    <w:rsid w:val="007D7186"/>
    <w:rsid w:val="007E3897"/>
    <w:rsid w:val="007E3A73"/>
    <w:rsid w:val="007E61EB"/>
    <w:rsid w:val="007E76BA"/>
    <w:rsid w:val="007F01EC"/>
    <w:rsid w:val="007F040B"/>
    <w:rsid w:val="007F34C4"/>
    <w:rsid w:val="00810E5D"/>
    <w:rsid w:val="00813831"/>
    <w:rsid w:val="00814B9C"/>
    <w:rsid w:val="00814EFF"/>
    <w:rsid w:val="00816FC4"/>
    <w:rsid w:val="00833746"/>
    <w:rsid w:val="00834136"/>
    <w:rsid w:val="008357BC"/>
    <w:rsid w:val="00836B74"/>
    <w:rsid w:val="00846292"/>
    <w:rsid w:val="00854341"/>
    <w:rsid w:val="00862A92"/>
    <w:rsid w:val="00864070"/>
    <w:rsid w:val="00864C71"/>
    <w:rsid w:val="008706C9"/>
    <w:rsid w:val="0087124D"/>
    <w:rsid w:val="00872E5B"/>
    <w:rsid w:val="00873A57"/>
    <w:rsid w:val="00880772"/>
    <w:rsid w:val="008841BE"/>
    <w:rsid w:val="00886147"/>
    <w:rsid w:val="008901B4"/>
    <w:rsid w:val="0089571F"/>
    <w:rsid w:val="008A028E"/>
    <w:rsid w:val="008A386E"/>
    <w:rsid w:val="008A539C"/>
    <w:rsid w:val="008A6117"/>
    <w:rsid w:val="008A789F"/>
    <w:rsid w:val="008B605C"/>
    <w:rsid w:val="008C4E1F"/>
    <w:rsid w:val="008C5B66"/>
    <w:rsid w:val="008C7485"/>
    <w:rsid w:val="008D0980"/>
    <w:rsid w:val="008D41D6"/>
    <w:rsid w:val="008D740F"/>
    <w:rsid w:val="008D7925"/>
    <w:rsid w:val="008E59FF"/>
    <w:rsid w:val="008E5DF3"/>
    <w:rsid w:val="008F0328"/>
    <w:rsid w:val="008F0FBF"/>
    <w:rsid w:val="008F3F1C"/>
    <w:rsid w:val="009009C1"/>
    <w:rsid w:val="00900D67"/>
    <w:rsid w:val="00901D01"/>
    <w:rsid w:val="00906C99"/>
    <w:rsid w:val="009076EA"/>
    <w:rsid w:val="00910C1E"/>
    <w:rsid w:val="00911133"/>
    <w:rsid w:val="00912881"/>
    <w:rsid w:val="009209AB"/>
    <w:rsid w:val="00925BC3"/>
    <w:rsid w:val="00926FB3"/>
    <w:rsid w:val="009401D2"/>
    <w:rsid w:val="00941D1E"/>
    <w:rsid w:val="00943806"/>
    <w:rsid w:val="009450EB"/>
    <w:rsid w:val="00946BD8"/>
    <w:rsid w:val="00951EBE"/>
    <w:rsid w:val="009565F8"/>
    <w:rsid w:val="00957260"/>
    <w:rsid w:val="009605BE"/>
    <w:rsid w:val="00960E35"/>
    <w:rsid w:val="009725E9"/>
    <w:rsid w:val="009735C4"/>
    <w:rsid w:val="009745EE"/>
    <w:rsid w:val="009844BF"/>
    <w:rsid w:val="0098741C"/>
    <w:rsid w:val="00987D3B"/>
    <w:rsid w:val="009955BB"/>
    <w:rsid w:val="00997678"/>
    <w:rsid w:val="009A48B9"/>
    <w:rsid w:val="009B0BF2"/>
    <w:rsid w:val="009B1E5C"/>
    <w:rsid w:val="009B22B3"/>
    <w:rsid w:val="009B2F80"/>
    <w:rsid w:val="009B7830"/>
    <w:rsid w:val="009C291C"/>
    <w:rsid w:val="009C4C0D"/>
    <w:rsid w:val="009C4D35"/>
    <w:rsid w:val="009C52F2"/>
    <w:rsid w:val="009E009A"/>
    <w:rsid w:val="009E1645"/>
    <w:rsid w:val="009E44E0"/>
    <w:rsid w:val="009E5194"/>
    <w:rsid w:val="009F2A11"/>
    <w:rsid w:val="009F67B5"/>
    <w:rsid w:val="009F6F5F"/>
    <w:rsid w:val="00A05787"/>
    <w:rsid w:val="00A1541A"/>
    <w:rsid w:val="00A15928"/>
    <w:rsid w:val="00A21C21"/>
    <w:rsid w:val="00A249C9"/>
    <w:rsid w:val="00A2657A"/>
    <w:rsid w:val="00A306ED"/>
    <w:rsid w:val="00A3469A"/>
    <w:rsid w:val="00A44897"/>
    <w:rsid w:val="00A5162E"/>
    <w:rsid w:val="00A5236A"/>
    <w:rsid w:val="00A53228"/>
    <w:rsid w:val="00A53C1A"/>
    <w:rsid w:val="00A649B2"/>
    <w:rsid w:val="00A67A3C"/>
    <w:rsid w:val="00A7193C"/>
    <w:rsid w:val="00A73778"/>
    <w:rsid w:val="00A737EE"/>
    <w:rsid w:val="00A77ACD"/>
    <w:rsid w:val="00A82897"/>
    <w:rsid w:val="00A82E79"/>
    <w:rsid w:val="00A855BC"/>
    <w:rsid w:val="00A8739A"/>
    <w:rsid w:val="00A931AE"/>
    <w:rsid w:val="00A946E6"/>
    <w:rsid w:val="00AA2440"/>
    <w:rsid w:val="00AA3C09"/>
    <w:rsid w:val="00AA3CEE"/>
    <w:rsid w:val="00AA75F8"/>
    <w:rsid w:val="00AB3860"/>
    <w:rsid w:val="00AB3C2D"/>
    <w:rsid w:val="00AB414F"/>
    <w:rsid w:val="00AC0723"/>
    <w:rsid w:val="00AC2B5D"/>
    <w:rsid w:val="00AC36F3"/>
    <w:rsid w:val="00AC724E"/>
    <w:rsid w:val="00AD31FE"/>
    <w:rsid w:val="00AD4416"/>
    <w:rsid w:val="00AD651C"/>
    <w:rsid w:val="00AE3B0A"/>
    <w:rsid w:val="00AE56EF"/>
    <w:rsid w:val="00AF57AF"/>
    <w:rsid w:val="00AF6878"/>
    <w:rsid w:val="00B02276"/>
    <w:rsid w:val="00B0269D"/>
    <w:rsid w:val="00B146D2"/>
    <w:rsid w:val="00B26E8E"/>
    <w:rsid w:val="00B324C7"/>
    <w:rsid w:val="00B34AF4"/>
    <w:rsid w:val="00B4380B"/>
    <w:rsid w:val="00B44967"/>
    <w:rsid w:val="00B5093D"/>
    <w:rsid w:val="00B542AB"/>
    <w:rsid w:val="00B574B4"/>
    <w:rsid w:val="00B66DDE"/>
    <w:rsid w:val="00B76FAB"/>
    <w:rsid w:val="00B8057A"/>
    <w:rsid w:val="00B845C7"/>
    <w:rsid w:val="00B845CF"/>
    <w:rsid w:val="00B87A38"/>
    <w:rsid w:val="00B900AD"/>
    <w:rsid w:val="00B926BD"/>
    <w:rsid w:val="00BA0AA9"/>
    <w:rsid w:val="00BA17D8"/>
    <w:rsid w:val="00BA5604"/>
    <w:rsid w:val="00BB0464"/>
    <w:rsid w:val="00BB11DB"/>
    <w:rsid w:val="00BB21BA"/>
    <w:rsid w:val="00BB4B27"/>
    <w:rsid w:val="00BC0FD0"/>
    <w:rsid w:val="00BC27C0"/>
    <w:rsid w:val="00BD0E6D"/>
    <w:rsid w:val="00BE0181"/>
    <w:rsid w:val="00BE5538"/>
    <w:rsid w:val="00BE77D3"/>
    <w:rsid w:val="00BF197C"/>
    <w:rsid w:val="00BF3BE3"/>
    <w:rsid w:val="00BF5F90"/>
    <w:rsid w:val="00BF73CD"/>
    <w:rsid w:val="00C007E1"/>
    <w:rsid w:val="00C011BB"/>
    <w:rsid w:val="00C0759E"/>
    <w:rsid w:val="00C12E03"/>
    <w:rsid w:val="00C16986"/>
    <w:rsid w:val="00C24000"/>
    <w:rsid w:val="00C27939"/>
    <w:rsid w:val="00C37ECB"/>
    <w:rsid w:val="00C41597"/>
    <w:rsid w:val="00C43831"/>
    <w:rsid w:val="00C51B75"/>
    <w:rsid w:val="00C57A27"/>
    <w:rsid w:val="00C648CB"/>
    <w:rsid w:val="00C65E89"/>
    <w:rsid w:val="00C73CE8"/>
    <w:rsid w:val="00C756CC"/>
    <w:rsid w:val="00C76260"/>
    <w:rsid w:val="00C81789"/>
    <w:rsid w:val="00C82B38"/>
    <w:rsid w:val="00C832D7"/>
    <w:rsid w:val="00C8541A"/>
    <w:rsid w:val="00C871A4"/>
    <w:rsid w:val="00C87561"/>
    <w:rsid w:val="00C92A93"/>
    <w:rsid w:val="00C94891"/>
    <w:rsid w:val="00C9519F"/>
    <w:rsid w:val="00C95D85"/>
    <w:rsid w:val="00CA19EC"/>
    <w:rsid w:val="00CA4050"/>
    <w:rsid w:val="00CA55A2"/>
    <w:rsid w:val="00CA5862"/>
    <w:rsid w:val="00CA5888"/>
    <w:rsid w:val="00CB0AF0"/>
    <w:rsid w:val="00CB29D7"/>
    <w:rsid w:val="00CB43D6"/>
    <w:rsid w:val="00CC2FC5"/>
    <w:rsid w:val="00CC325D"/>
    <w:rsid w:val="00CC4015"/>
    <w:rsid w:val="00CC6AC9"/>
    <w:rsid w:val="00CD1451"/>
    <w:rsid w:val="00CD3BC1"/>
    <w:rsid w:val="00CD44DC"/>
    <w:rsid w:val="00CE04D4"/>
    <w:rsid w:val="00CE5FC4"/>
    <w:rsid w:val="00CE6C13"/>
    <w:rsid w:val="00CF0DBD"/>
    <w:rsid w:val="00CF3BC2"/>
    <w:rsid w:val="00CF55D6"/>
    <w:rsid w:val="00D039AF"/>
    <w:rsid w:val="00D048C2"/>
    <w:rsid w:val="00D06074"/>
    <w:rsid w:val="00D13EEF"/>
    <w:rsid w:val="00D175C1"/>
    <w:rsid w:val="00D17708"/>
    <w:rsid w:val="00D261BF"/>
    <w:rsid w:val="00D307DD"/>
    <w:rsid w:val="00D30B0D"/>
    <w:rsid w:val="00D322F7"/>
    <w:rsid w:val="00D32692"/>
    <w:rsid w:val="00D34D9A"/>
    <w:rsid w:val="00D411D4"/>
    <w:rsid w:val="00D41965"/>
    <w:rsid w:val="00D42548"/>
    <w:rsid w:val="00D51970"/>
    <w:rsid w:val="00D54632"/>
    <w:rsid w:val="00D559D7"/>
    <w:rsid w:val="00D65778"/>
    <w:rsid w:val="00D6694E"/>
    <w:rsid w:val="00D7159F"/>
    <w:rsid w:val="00D74774"/>
    <w:rsid w:val="00D768DD"/>
    <w:rsid w:val="00D776F2"/>
    <w:rsid w:val="00D77979"/>
    <w:rsid w:val="00D85977"/>
    <w:rsid w:val="00D943AA"/>
    <w:rsid w:val="00D955CC"/>
    <w:rsid w:val="00D95C9B"/>
    <w:rsid w:val="00D96076"/>
    <w:rsid w:val="00DA4861"/>
    <w:rsid w:val="00DA593C"/>
    <w:rsid w:val="00DA5E05"/>
    <w:rsid w:val="00DA62CD"/>
    <w:rsid w:val="00DB02D2"/>
    <w:rsid w:val="00DB16B8"/>
    <w:rsid w:val="00DB4CFA"/>
    <w:rsid w:val="00DC083F"/>
    <w:rsid w:val="00DC1904"/>
    <w:rsid w:val="00DC22BD"/>
    <w:rsid w:val="00DC2AFB"/>
    <w:rsid w:val="00DD1389"/>
    <w:rsid w:val="00DD2612"/>
    <w:rsid w:val="00DD2FF9"/>
    <w:rsid w:val="00DE1A23"/>
    <w:rsid w:val="00DE6725"/>
    <w:rsid w:val="00DE7BBD"/>
    <w:rsid w:val="00DE7BDB"/>
    <w:rsid w:val="00DF0FF6"/>
    <w:rsid w:val="00DF27AB"/>
    <w:rsid w:val="00E016E3"/>
    <w:rsid w:val="00E04D8B"/>
    <w:rsid w:val="00E1652B"/>
    <w:rsid w:val="00E300B5"/>
    <w:rsid w:val="00E407C4"/>
    <w:rsid w:val="00E4294C"/>
    <w:rsid w:val="00E42B8B"/>
    <w:rsid w:val="00E43E4E"/>
    <w:rsid w:val="00E44F05"/>
    <w:rsid w:val="00E45E74"/>
    <w:rsid w:val="00E521DA"/>
    <w:rsid w:val="00E527A6"/>
    <w:rsid w:val="00E53F7A"/>
    <w:rsid w:val="00E617F5"/>
    <w:rsid w:val="00E63AB7"/>
    <w:rsid w:val="00E66C8B"/>
    <w:rsid w:val="00E7058C"/>
    <w:rsid w:val="00E71154"/>
    <w:rsid w:val="00E74B69"/>
    <w:rsid w:val="00E841B3"/>
    <w:rsid w:val="00E86544"/>
    <w:rsid w:val="00E9256D"/>
    <w:rsid w:val="00EA0B36"/>
    <w:rsid w:val="00EA6B09"/>
    <w:rsid w:val="00EC2A68"/>
    <w:rsid w:val="00EC2C52"/>
    <w:rsid w:val="00EC2DD1"/>
    <w:rsid w:val="00EC4AB6"/>
    <w:rsid w:val="00EC60E9"/>
    <w:rsid w:val="00ED2939"/>
    <w:rsid w:val="00ED30D0"/>
    <w:rsid w:val="00ED50CC"/>
    <w:rsid w:val="00ED53CE"/>
    <w:rsid w:val="00EF1689"/>
    <w:rsid w:val="00EF43E2"/>
    <w:rsid w:val="00EF6088"/>
    <w:rsid w:val="00EF7256"/>
    <w:rsid w:val="00F04148"/>
    <w:rsid w:val="00F04DC9"/>
    <w:rsid w:val="00F06CEB"/>
    <w:rsid w:val="00F1169B"/>
    <w:rsid w:val="00F15247"/>
    <w:rsid w:val="00F205AA"/>
    <w:rsid w:val="00F2515E"/>
    <w:rsid w:val="00F25A12"/>
    <w:rsid w:val="00F33F89"/>
    <w:rsid w:val="00F363BB"/>
    <w:rsid w:val="00F41680"/>
    <w:rsid w:val="00F44AAE"/>
    <w:rsid w:val="00F45514"/>
    <w:rsid w:val="00F5171D"/>
    <w:rsid w:val="00F5485E"/>
    <w:rsid w:val="00F54939"/>
    <w:rsid w:val="00F54D2E"/>
    <w:rsid w:val="00F553E2"/>
    <w:rsid w:val="00F5763D"/>
    <w:rsid w:val="00F61159"/>
    <w:rsid w:val="00F6444F"/>
    <w:rsid w:val="00F668CD"/>
    <w:rsid w:val="00F70FE9"/>
    <w:rsid w:val="00F77BD2"/>
    <w:rsid w:val="00F813CB"/>
    <w:rsid w:val="00F814FE"/>
    <w:rsid w:val="00F868CC"/>
    <w:rsid w:val="00F90846"/>
    <w:rsid w:val="00F93988"/>
    <w:rsid w:val="00F94AA1"/>
    <w:rsid w:val="00F94DCF"/>
    <w:rsid w:val="00F95095"/>
    <w:rsid w:val="00F96CFD"/>
    <w:rsid w:val="00FA2152"/>
    <w:rsid w:val="00FA5337"/>
    <w:rsid w:val="00FA7A62"/>
    <w:rsid w:val="00FB1800"/>
    <w:rsid w:val="00FB634E"/>
    <w:rsid w:val="00FC1B73"/>
    <w:rsid w:val="00FC255D"/>
    <w:rsid w:val="00FC5FDF"/>
    <w:rsid w:val="00FC5FEA"/>
    <w:rsid w:val="00FC7B5B"/>
    <w:rsid w:val="00FD2518"/>
    <w:rsid w:val="00FD35ED"/>
    <w:rsid w:val="00FD5D4F"/>
    <w:rsid w:val="00FD7FBC"/>
    <w:rsid w:val="00FE04A6"/>
    <w:rsid w:val="00FE0ACD"/>
    <w:rsid w:val="00FE5B83"/>
    <w:rsid w:val="00FE6E46"/>
    <w:rsid w:val="00FE6E78"/>
    <w:rsid w:val="00FF098F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FF1E7"/>
  <w15:chartTrackingRefBased/>
  <w15:docId w15:val="{3B45BFEE-A4B7-4959-9D3F-0532381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0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013F6"/>
    <w:pPr>
      <w:keepNext/>
      <w:spacing w:before="24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4013F6"/>
    <w:pPr>
      <w:keepNext/>
      <w:spacing w:before="240" w:after="60"/>
      <w:ind w:left="1418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7A62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A7A62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DE1A23"/>
    <w:pPr>
      <w:spacing w:after="120"/>
    </w:pPr>
  </w:style>
  <w:style w:type="character" w:styleId="HTMLTypewriter">
    <w:name w:val="HTML Typewriter"/>
    <w:rsid w:val="00F668CD"/>
    <w:rPr>
      <w:rFonts w:ascii="Courier New" w:eastAsia="SimSun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113D61"/>
    <w:pPr>
      <w:numPr>
        <w:numId w:val="1"/>
      </w:numPr>
    </w:pPr>
  </w:style>
  <w:style w:type="paragraph" w:styleId="BodyTextIndent">
    <w:name w:val="Body Text Indent"/>
    <w:basedOn w:val="Normal"/>
    <w:rsid w:val="004013F6"/>
    <w:pPr>
      <w:spacing w:after="120"/>
      <w:ind w:left="360"/>
    </w:pPr>
  </w:style>
  <w:style w:type="table" w:styleId="TableGrid">
    <w:name w:val="Table Grid"/>
    <w:basedOn w:val="TableNormal"/>
    <w:rsid w:val="003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0AA9"/>
    <w:rPr>
      <w:color w:val="0000FF"/>
      <w:u w:val="single"/>
    </w:rPr>
  </w:style>
  <w:style w:type="paragraph" w:styleId="BalloonText">
    <w:name w:val="Balloon Text"/>
    <w:basedOn w:val="Normal"/>
    <w:semiHidden/>
    <w:rsid w:val="002748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D67"/>
  </w:style>
  <w:style w:type="paragraph" w:customStyle="1" w:styleId="DDL">
    <w:name w:val="DDL"/>
    <w:basedOn w:val="Normal"/>
    <w:autoRedefine/>
    <w:rsid w:val="001D4794"/>
    <w:pPr>
      <w:widowControl w:val="0"/>
      <w:spacing w:before="60"/>
      <w:ind w:firstLine="284"/>
      <w:jc w:val="both"/>
    </w:pPr>
    <w:rPr>
      <w:rFonts w:ascii="Courier New" w:eastAsia="MS Mincho" w:hAnsi="Courier New"/>
      <w:noProof/>
      <w:snapToGrid w:val="0"/>
      <w:kern w:val="32"/>
      <w:szCs w:val="20"/>
    </w:rPr>
  </w:style>
  <w:style w:type="paragraph" w:styleId="ListNumber">
    <w:name w:val="List Number"/>
    <w:basedOn w:val="Normal"/>
    <w:rsid w:val="00F1169B"/>
    <w:pPr>
      <w:numPr>
        <w:numId w:val="5"/>
      </w:numPr>
    </w:pPr>
    <w:rPr>
      <w:rFonts w:eastAsia="BatangChe"/>
      <w:szCs w:val="20"/>
    </w:rPr>
  </w:style>
  <w:style w:type="paragraph" w:styleId="Header">
    <w:name w:val="header"/>
    <w:basedOn w:val="Normal"/>
    <w:rsid w:val="00B76FA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873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D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PEGGroup/OpenFontFormat/issu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googlefonts/colr-gradients-spe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thub.com/MPEGGroup/OpenFontFormat/issues/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MPEGGroup/OpenFontFormat/issues/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Agfa Monotype Corp.</Company>
  <LinksUpToDate>false</LinksUpToDate>
  <CharactersWithSpaces>3761</CharactersWithSpaces>
  <SharedDoc>false</SharedDoc>
  <HLinks>
    <vt:vector size="60" baseType="variant">
      <vt:variant>
        <vt:i4>8061040</vt:i4>
      </vt:variant>
      <vt:variant>
        <vt:i4>27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https://lists.aau.at/pipermail/mpeg-otspec/2020-August/thread.html</vt:lpwstr>
      </vt:variant>
      <vt:variant>
        <vt:lpwstr/>
      </vt:variant>
      <vt:variant>
        <vt:i4>1245268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https://github.com/MPEGGroup/OpenFontFormat/issues/20</vt:lpwstr>
      </vt:variant>
      <vt:variant>
        <vt:lpwstr/>
      </vt:variant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https://www.w3.org/community/font-text/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https://lists.aau.at/pipermail/mpeg-otspec/2020-August/002156.html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https://lists.aau.at/pipermail/mpeg-otspec/2020-August/002001.html</vt:lpwstr>
      </vt:variant>
      <vt:variant>
        <vt:lpwstr/>
      </vt:variant>
      <vt:variant>
        <vt:i4>5767257</vt:i4>
      </vt:variant>
      <vt:variant>
        <vt:i4>9</vt:i4>
      </vt:variant>
      <vt:variant>
        <vt:i4>0</vt:i4>
      </vt:variant>
      <vt:variant>
        <vt:i4>5</vt:i4>
      </vt:variant>
      <vt:variant>
        <vt:lpwstr>http://www.unicode.org/reports/tr50/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https://lists.aau.at/pipermail/mpeg-otspec/2020-August/001835.html</vt:lpwstr>
      </vt:variant>
      <vt:variant>
        <vt:lpwstr/>
      </vt:variant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https://lists.aau.at/pipermail/mpeg-otspec/2020-August/002134.html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https://github.com/MPEGGroup/OpenFontFormat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subject/>
  <dc:creator>Vladimir Levantovsky</dc:creator>
  <cp:keywords/>
  <cp:lastModifiedBy>vladl</cp:lastModifiedBy>
  <cp:revision>10</cp:revision>
  <cp:lastPrinted>2004-07-14T17:21:00Z</cp:lastPrinted>
  <dcterms:created xsi:type="dcterms:W3CDTF">2020-10-08T00:38:00Z</dcterms:created>
  <dcterms:modified xsi:type="dcterms:W3CDTF">2021-04-17T00:00:00Z</dcterms:modified>
</cp:coreProperties>
</file>